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Färgelanda kommunfullmäktige</w:t>
      </w:r>
    </w:p>
    <w:p>
      <w:pPr>
        <w:pStyle w:val="Heading1"/>
      </w:pPr>
      <w:r>
        <w:t xml:space="preserve">Stärk ordning och kunskaper i kommunens skolor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Färgelanda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Meritvärdet i årskurs 9 är 215 poäng, lägre än länsgenomsnittet (Kolada 2024). Färgelanda skola och Högsäter skola har rapporterat ökade ordningsproblem enligt Skolinspektionen 2023.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Färgelanda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antar en handlingsplan för ordning och studiero i alla skolor.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införa tidig läsundervisning med extra stöd från årskurs 1.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öka lärartätheten med minst två heltidslärare per skola.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införa mobilförbud under lektionstid från höstterminen 2027.</w:t>
      </w:r>
    </w:p>
    <w:p>
      <w:pPr>
        <w:spacing w:before="360"/>
      </w:pPr>
    </w:p>
    <w:p>
      <w:r>
        <w:t xml:space="preserve">Färgelanda,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Färgelanda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2026-07-14T03:00:09.933Z</dcterms:created>
  <dcterms:modified xsi:type="dcterms:W3CDTF">2026-07-14T03:00:09.933Z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